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AF" w:rsidRDefault="002B1AAF" w:rsidP="002B1AAF">
      <w:pPr>
        <w:pStyle w:val="a3"/>
        <w:ind w:right="-285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-195580</wp:posOffset>
            </wp:positionV>
            <wp:extent cx="626745" cy="800100"/>
            <wp:effectExtent l="19050" t="0" r="1905" b="0"/>
            <wp:wrapTight wrapText="bothSides">
              <wp:wrapPolygon edited="0">
                <wp:start x="-657" y="0"/>
                <wp:lineTo x="-657" y="21086"/>
                <wp:lineTo x="21666" y="21086"/>
                <wp:lineTo x="21666" y="0"/>
                <wp:lineTo x="-6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AAF" w:rsidRDefault="002B1AAF" w:rsidP="002B1AAF">
      <w:pPr>
        <w:pStyle w:val="a3"/>
        <w:outlineLvl w:val="0"/>
        <w:rPr>
          <w:sz w:val="32"/>
          <w:szCs w:val="32"/>
        </w:rPr>
      </w:pPr>
    </w:p>
    <w:p w:rsidR="002B1AAF" w:rsidRDefault="002B1AAF" w:rsidP="002B1AAF">
      <w:pPr>
        <w:pStyle w:val="a3"/>
        <w:outlineLvl w:val="0"/>
        <w:rPr>
          <w:sz w:val="32"/>
          <w:szCs w:val="32"/>
        </w:rPr>
      </w:pPr>
    </w:p>
    <w:p w:rsidR="002B1AAF" w:rsidRPr="00110B23" w:rsidRDefault="002B1AAF" w:rsidP="002B1AAF">
      <w:pPr>
        <w:pStyle w:val="a3"/>
        <w:outlineLvl w:val="0"/>
        <w:rPr>
          <w:sz w:val="32"/>
          <w:szCs w:val="32"/>
        </w:rPr>
      </w:pPr>
      <w:r w:rsidRPr="00110B23">
        <w:rPr>
          <w:sz w:val="32"/>
          <w:szCs w:val="32"/>
        </w:rPr>
        <w:t xml:space="preserve">С Е </w:t>
      </w:r>
      <w:proofErr w:type="gramStart"/>
      <w:r w:rsidRPr="00110B23">
        <w:rPr>
          <w:sz w:val="32"/>
          <w:szCs w:val="32"/>
        </w:rPr>
        <w:t>Л Ь</w:t>
      </w:r>
      <w:proofErr w:type="gramEnd"/>
      <w:r w:rsidRPr="00110B23">
        <w:rPr>
          <w:sz w:val="32"/>
          <w:szCs w:val="32"/>
        </w:rPr>
        <w:t xml:space="preserve"> С К А Я      Д У М А </w:t>
      </w:r>
    </w:p>
    <w:p w:rsidR="002B1AAF" w:rsidRPr="0041499F" w:rsidRDefault="002B1AAF" w:rsidP="002B1AAF">
      <w:pPr>
        <w:pStyle w:val="a3"/>
        <w:ind w:right="-285"/>
        <w:outlineLvl w:val="0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2B1AAF" w:rsidRPr="0041499F" w:rsidRDefault="002B1AAF" w:rsidP="002B1AAF">
      <w:pPr>
        <w:pStyle w:val="a3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Тягаево»  </w:t>
      </w:r>
      <w:r w:rsidRPr="004149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41499F">
        <w:rPr>
          <w:b w:val="0"/>
          <w:sz w:val="26"/>
          <w:szCs w:val="26"/>
        </w:rPr>
        <w:t xml:space="preserve"> 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2B1AAF" w:rsidRDefault="002B1AAF" w:rsidP="002B1AAF">
      <w:pPr>
        <w:pStyle w:val="a3"/>
        <w:rPr>
          <w:b w:val="0"/>
          <w:sz w:val="30"/>
        </w:rPr>
      </w:pPr>
    </w:p>
    <w:p w:rsidR="002B1AAF" w:rsidRPr="00110B23" w:rsidRDefault="002B1AAF" w:rsidP="002B1AAF">
      <w:pPr>
        <w:pStyle w:val="a3"/>
        <w:ind w:right="-144"/>
        <w:outlineLvl w:val="0"/>
        <w:rPr>
          <w:sz w:val="32"/>
          <w:szCs w:val="32"/>
        </w:rPr>
      </w:pPr>
      <w:r w:rsidRPr="00110B23">
        <w:rPr>
          <w:sz w:val="32"/>
          <w:szCs w:val="32"/>
        </w:rPr>
        <w:t>РЕШЕНИЕ</w:t>
      </w:r>
    </w:p>
    <w:p w:rsidR="002B1AAF" w:rsidRDefault="002B1AAF" w:rsidP="002B1AAF">
      <w:pPr>
        <w:pStyle w:val="a3"/>
        <w:rPr>
          <w:b w:val="0"/>
          <w:sz w:val="30"/>
        </w:rPr>
      </w:pPr>
    </w:p>
    <w:p w:rsidR="002B1AAF" w:rsidRDefault="002B1AAF" w:rsidP="002B1AAF">
      <w:pPr>
        <w:pStyle w:val="a3"/>
        <w:jc w:val="both"/>
        <w:rPr>
          <w:b w:val="0"/>
          <w:sz w:val="26"/>
          <w:szCs w:val="26"/>
        </w:rPr>
      </w:pPr>
    </w:p>
    <w:p w:rsidR="002B1AAF" w:rsidRDefault="00906545" w:rsidP="002B1AA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25.12.2024</w:t>
      </w:r>
      <w:r w:rsidR="002B1AAF">
        <w:rPr>
          <w:b w:val="0"/>
          <w:sz w:val="26"/>
          <w:szCs w:val="26"/>
        </w:rPr>
        <w:t xml:space="preserve">                                                                        </w:t>
      </w:r>
      <w:r>
        <w:rPr>
          <w:b w:val="0"/>
          <w:sz w:val="26"/>
          <w:szCs w:val="26"/>
        </w:rPr>
        <w:t xml:space="preserve">                                           № 117</w:t>
      </w:r>
      <w:r w:rsidR="002B1AAF">
        <w:rPr>
          <w:b w:val="0"/>
          <w:sz w:val="26"/>
          <w:szCs w:val="26"/>
        </w:rPr>
        <w:t xml:space="preserve"> </w:t>
      </w:r>
    </w:p>
    <w:p w:rsidR="002B1AAF" w:rsidRPr="00A54329" w:rsidRDefault="002B1AAF" w:rsidP="002B1AAF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</w:t>
      </w:r>
    </w:p>
    <w:p w:rsidR="002B1AAF" w:rsidRPr="00A54329" w:rsidRDefault="002B1AAF" w:rsidP="002B1AAF">
      <w:pPr>
        <w:jc w:val="both"/>
        <w:rPr>
          <w:sz w:val="26"/>
          <w:szCs w:val="26"/>
        </w:rPr>
      </w:pPr>
    </w:p>
    <w:p w:rsidR="002B1AAF" w:rsidRPr="002B1AAF" w:rsidRDefault="002B1AAF" w:rsidP="00BF07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AAF">
        <w:rPr>
          <w:rFonts w:ascii="Times New Roman" w:hAnsi="Times New Roman" w:cs="Times New Roman"/>
          <w:b/>
          <w:sz w:val="26"/>
          <w:szCs w:val="26"/>
        </w:rPr>
        <w:t xml:space="preserve">Об     отчете    Главы     администрации </w:t>
      </w:r>
    </w:p>
    <w:p w:rsidR="002B1AAF" w:rsidRPr="002B1AAF" w:rsidRDefault="002B1AAF" w:rsidP="00BF077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AAF">
        <w:rPr>
          <w:rFonts w:ascii="Times New Roman" w:hAnsi="Times New Roman" w:cs="Times New Roman"/>
          <w:b/>
          <w:sz w:val="26"/>
          <w:szCs w:val="26"/>
        </w:rPr>
        <w:t>сельского поселения «Деревня Тягаево»</w:t>
      </w:r>
    </w:p>
    <w:p w:rsidR="002B1AAF" w:rsidRDefault="002B1AAF" w:rsidP="002B1A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2024 год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задачах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на 2025</w:t>
      </w:r>
      <w:r w:rsidRPr="002B1AAF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BF0776" w:rsidRPr="002B1AAF" w:rsidRDefault="00BF0776" w:rsidP="002B1AA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AAF" w:rsidRPr="002B1AAF" w:rsidRDefault="002B1AAF" w:rsidP="002B1AAF">
      <w:pPr>
        <w:jc w:val="both"/>
        <w:rPr>
          <w:rFonts w:ascii="Times New Roman" w:hAnsi="Times New Roman" w:cs="Times New Roman"/>
          <w:sz w:val="26"/>
          <w:szCs w:val="26"/>
        </w:rPr>
      </w:pPr>
      <w:r w:rsidRPr="002B1AAF">
        <w:rPr>
          <w:rFonts w:ascii="Times New Roman" w:hAnsi="Times New Roman" w:cs="Times New Roman"/>
          <w:sz w:val="26"/>
          <w:szCs w:val="26"/>
        </w:rPr>
        <w:t xml:space="preserve">          Заслушав отчет Главы администрации сельского поселения «Деревня          Тягаево»</w:t>
      </w:r>
      <w:r>
        <w:rPr>
          <w:rFonts w:ascii="Times New Roman" w:hAnsi="Times New Roman" w:cs="Times New Roman"/>
          <w:sz w:val="26"/>
          <w:szCs w:val="26"/>
        </w:rPr>
        <w:t xml:space="preserve"> за 2024 год и задачах на 2025</w:t>
      </w:r>
      <w:r w:rsidRPr="002B1AAF">
        <w:rPr>
          <w:rFonts w:ascii="Times New Roman" w:hAnsi="Times New Roman" w:cs="Times New Roman"/>
          <w:sz w:val="26"/>
          <w:szCs w:val="26"/>
        </w:rPr>
        <w:t xml:space="preserve"> год, руководствуясь статьей 37 п.6.1.       Федерального закона от 06.10.2003 № 131-ФЗ «Об общих принципах организации местного самоуправления в Российской Федерации», Сельская Дума</w:t>
      </w:r>
    </w:p>
    <w:p w:rsidR="002B1AAF" w:rsidRPr="002B1AAF" w:rsidRDefault="002B1AAF" w:rsidP="002B1A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1AAF" w:rsidRPr="002B1AAF" w:rsidRDefault="002B1AAF" w:rsidP="002B1A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A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gramStart"/>
      <w:r w:rsidRPr="002B1AA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B1AAF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2B1AAF" w:rsidRPr="002B1AAF" w:rsidRDefault="002B1AAF" w:rsidP="002B1A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AF" w:rsidRPr="002B1AAF" w:rsidRDefault="002B1AAF" w:rsidP="002B1AAF">
      <w:pPr>
        <w:jc w:val="both"/>
        <w:rPr>
          <w:rFonts w:ascii="Times New Roman" w:hAnsi="Times New Roman" w:cs="Times New Roman"/>
          <w:sz w:val="26"/>
          <w:szCs w:val="26"/>
        </w:rPr>
      </w:pPr>
      <w:r w:rsidRPr="002B1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B1AAF">
        <w:rPr>
          <w:rFonts w:ascii="Times New Roman" w:hAnsi="Times New Roman" w:cs="Times New Roman"/>
          <w:sz w:val="26"/>
          <w:szCs w:val="26"/>
        </w:rPr>
        <w:t>1. Отчет Главы администрации сельского поселения «Деревня Тягаево</w:t>
      </w:r>
      <w:r>
        <w:rPr>
          <w:rFonts w:ascii="Times New Roman" w:hAnsi="Times New Roman" w:cs="Times New Roman"/>
          <w:sz w:val="26"/>
          <w:szCs w:val="26"/>
        </w:rPr>
        <w:t>» за 2024 год и задачах на 2025</w:t>
      </w:r>
      <w:r w:rsidRPr="002B1AAF">
        <w:rPr>
          <w:rFonts w:ascii="Times New Roman" w:hAnsi="Times New Roman" w:cs="Times New Roman"/>
          <w:sz w:val="26"/>
          <w:szCs w:val="26"/>
        </w:rPr>
        <w:t xml:space="preserve"> год принять к сведению (прилагается).</w:t>
      </w:r>
    </w:p>
    <w:p w:rsidR="002B1AAF" w:rsidRPr="002B1AAF" w:rsidRDefault="002B1AAF" w:rsidP="002B1AAF">
      <w:pPr>
        <w:jc w:val="both"/>
        <w:rPr>
          <w:rFonts w:ascii="Times New Roman" w:hAnsi="Times New Roman" w:cs="Times New Roman"/>
          <w:sz w:val="26"/>
          <w:szCs w:val="26"/>
        </w:rPr>
      </w:pPr>
      <w:r w:rsidRPr="002B1AAF">
        <w:rPr>
          <w:rFonts w:ascii="Times New Roman" w:hAnsi="Times New Roman" w:cs="Times New Roman"/>
          <w:sz w:val="26"/>
          <w:szCs w:val="26"/>
        </w:rPr>
        <w:t xml:space="preserve">        2. Настоящее решение вступает в силу с момента его принятия.</w:t>
      </w:r>
    </w:p>
    <w:p w:rsidR="002B1AAF" w:rsidRPr="002B1AAF" w:rsidRDefault="002B1AAF" w:rsidP="002B1A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0776" w:rsidRDefault="002B1AAF">
      <w:pPr>
        <w:rPr>
          <w:rFonts w:ascii="Times New Roman" w:hAnsi="Times New Roman" w:cs="Times New Roman"/>
          <w:b/>
          <w:sz w:val="26"/>
          <w:szCs w:val="26"/>
        </w:rPr>
      </w:pPr>
      <w:r w:rsidRPr="002B1AAF">
        <w:rPr>
          <w:rFonts w:ascii="Times New Roman" w:hAnsi="Times New Roman" w:cs="Times New Roman"/>
          <w:b/>
          <w:sz w:val="26"/>
          <w:szCs w:val="26"/>
        </w:rPr>
        <w:t>Глава сель</w:t>
      </w:r>
      <w:r>
        <w:rPr>
          <w:rFonts w:ascii="Times New Roman" w:hAnsi="Times New Roman" w:cs="Times New Roman"/>
          <w:b/>
          <w:sz w:val="26"/>
          <w:szCs w:val="26"/>
        </w:rPr>
        <w:t xml:space="preserve">ского поселения                </w:t>
      </w:r>
      <w:r w:rsidRPr="002B1A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Н.И. Федотова</w:t>
      </w:r>
      <w:r w:rsidR="00BF077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F0776" w:rsidRPr="00BF0776" w:rsidRDefault="00BF0776" w:rsidP="00BF077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 Т Ч Е Т</w:t>
      </w:r>
    </w:p>
    <w:p w:rsidR="00BF0776" w:rsidRPr="00BF0776" w:rsidRDefault="00BF0776" w:rsidP="00BF077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Главы администрации сельского поселения «Деревня Тягаево»</w:t>
      </w:r>
    </w:p>
    <w:p w:rsidR="00BF0776" w:rsidRPr="00BF0776" w:rsidRDefault="00BF0776" w:rsidP="00BF0776">
      <w:pPr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социально-экономического развития в  2024 году и задачи на 2025 год.</w:t>
      </w:r>
    </w:p>
    <w:p w:rsidR="00BF0776" w:rsidRPr="00BF0776" w:rsidRDefault="00BF0776" w:rsidP="00BF077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1. Характеристика сельского поселения.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На территории СП «Деревня Тягаево» расположены: СДК, библиотека, ФАП, почта и одиннадцать населенных пунктов. Все учреждения социальной сферы расположены в одном здании,  для удобства населения.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В состав сельского поселения «Деревня Тягаево» входят: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BF0776">
        <w:rPr>
          <w:rFonts w:ascii="Times New Roman" w:eastAsia="Times New Roman" w:hAnsi="Times New Roman" w:cs="Times New Roman"/>
          <w:sz w:val="26"/>
          <w:szCs w:val="26"/>
        </w:rPr>
        <w:t>ягаево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д.Мамоново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д.Глиньково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д.Дальнее Натарово, д.Ясная Поляна, д.Верхнее Синьгово, д.Нижнее Синьгово,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д.Усохи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д.Кушляновка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д.Устрожено,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д.Пупово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Общая площадь земель сельского поселения – </w:t>
      </w:r>
      <w:smartTag w:uri="urn:schemas-microsoft-com:office:smarttags" w:element="metricconverter">
        <w:smartTagPr>
          <w:attr w:name="ProductID" w:val="596 га"/>
        </w:smartTagPr>
        <w:r w:rsidRPr="00BF0776">
          <w:rPr>
            <w:rFonts w:ascii="Times New Roman" w:eastAsia="Times New Roman" w:hAnsi="Times New Roman" w:cs="Times New Roman"/>
            <w:sz w:val="26"/>
            <w:szCs w:val="26"/>
          </w:rPr>
          <w:t>596 га</w:t>
        </w:r>
      </w:smartTag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пашня – </w:t>
      </w:r>
      <w:smartTag w:uri="urn:schemas-microsoft-com:office:smarttags" w:element="metricconverter">
        <w:smartTagPr>
          <w:attr w:name="ProductID" w:val="155 га"/>
        </w:smartTagPr>
        <w:r w:rsidRPr="00BF0776">
          <w:rPr>
            <w:rFonts w:ascii="Times New Roman" w:eastAsia="Times New Roman" w:hAnsi="Times New Roman" w:cs="Times New Roman"/>
            <w:sz w:val="26"/>
            <w:szCs w:val="26"/>
          </w:rPr>
          <w:t>155 га</w:t>
        </w:r>
      </w:smartTag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сенокосы – </w:t>
      </w:r>
      <w:smartTag w:uri="urn:schemas-microsoft-com:office:smarttags" w:element="metricconverter">
        <w:smartTagPr>
          <w:attr w:name="ProductID" w:val="64 га"/>
        </w:smartTagPr>
        <w:r w:rsidRPr="00BF0776">
          <w:rPr>
            <w:rFonts w:ascii="Times New Roman" w:eastAsia="Times New Roman" w:hAnsi="Times New Roman" w:cs="Times New Roman"/>
            <w:sz w:val="26"/>
            <w:szCs w:val="26"/>
          </w:rPr>
          <w:t>64 га</w:t>
        </w:r>
      </w:smartTag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общая площадь застроенных земель – </w:t>
      </w:r>
      <w:smartTag w:uri="urn:schemas-microsoft-com:office:smarttags" w:element="metricconverter">
        <w:smartTagPr>
          <w:attr w:name="ProductID" w:val="34 га"/>
        </w:smartTagPr>
        <w:r w:rsidRPr="00BF0776">
          <w:rPr>
            <w:rFonts w:ascii="Times New Roman" w:eastAsia="Times New Roman" w:hAnsi="Times New Roman" w:cs="Times New Roman"/>
            <w:sz w:val="26"/>
            <w:szCs w:val="26"/>
          </w:rPr>
          <w:t>34 га</w:t>
        </w:r>
      </w:smartTag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общая площадь улично-дорожной сети – </w:t>
      </w:r>
      <w:smartTag w:uri="urn:schemas-microsoft-com:office:smarttags" w:element="metricconverter">
        <w:smartTagPr>
          <w:attr w:name="ProductID" w:val="18 га"/>
        </w:smartTagPr>
        <w:r w:rsidRPr="00BF0776">
          <w:rPr>
            <w:rFonts w:ascii="Times New Roman" w:eastAsia="Times New Roman" w:hAnsi="Times New Roman" w:cs="Times New Roman"/>
            <w:sz w:val="26"/>
            <w:szCs w:val="26"/>
          </w:rPr>
          <w:t>18 га</w:t>
        </w:r>
      </w:smartTag>
      <w:r w:rsidRPr="00BF07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Численность населения на 01.12.2023 года составила 159 человек. По сравнению с 01.12.2024 года - 160 человек, население увеличилось на 1 человека. Основными причинами уменьшения численности населения является смертность, а регистрация по месту жительства и временная регистрация увеличивает население. В этом году оно незначительно увеличилось. Но это временно. В плановом периоде тенденция сокращения численности населения сохранится.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Поэтому в деревнях в основном остаются люди пенсионного возраста. Молодежь уезжает учиться и работать в города.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Основная отрасль экономики в сельском поселении – сельскохозяйственное производство, которое представлено личными подсобными хозяйствами. Всего хозяйств – 75, из них 43 хозяйства содержат с/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животных: 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КРС- 3 гол., в том числе коров- 3 гол., овцы- 10 гол., козы- 27 гол., кролики- 12 шт., птица- 336 шт., пчелосемьи- 36 шт. В том числе в ЛПХ Ивановой Я.А. содержатся свиньи, но данных по поголовью нам не предоставляют.</w:t>
      </w:r>
      <w:proofErr w:type="gramEnd"/>
    </w:p>
    <w:p w:rsidR="00BF0776" w:rsidRPr="00BF0776" w:rsidRDefault="00BF0776" w:rsidP="00BF077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2.  Демографические показатели (по сравнению с прошлым годом).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За 2023 год умерли 5 человек, родился 1 ребенок.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За 2024 год умерли 2 человека, родилось 0.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3. Доходная часть бюджета.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Доходы план – 6 315 069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Доходы исполнение – 6 250 734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 план – 2 989 782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 исполнение – 2 985 452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В том числе собственные доходы: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Налоги план – 3 325 287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Налоги исполнение – 3 265 281 руб.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В том числе: земельный налог с организаций – 283 500 руб.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налог на имущество физических лиц – 36 151 руб.;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налог на доходы физических лиц – 3 094  руб.;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земельный налог с физических лиц – 78 248 руб.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налог на совокупный доход – 2 786 787 руб.</w:t>
      </w:r>
    </w:p>
    <w:p w:rsidR="00BF0776" w:rsidRPr="00BF0776" w:rsidRDefault="00BF0776" w:rsidP="00BF077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4.  Расходы:</w:t>
      </w:r>
    </w:p>
    <w:p w:rsidR="00BF0776" w:rsidRPr="00BF0776" w:rsidRDefault="00BF0776" w:rsidP="00BF077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Расходы план – 6 859 812 руб.                      </w:t>
      </w:r>
    </w:p>
    <w:p w:rsidR="00BF0776" w:rsidRPr="00BF0776" w:rsidRDefault="00BF0776" w:rsidP="00BF077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Расходы исполнение - 6 055 345 руб.</w:t>
      </w:r>
    </w:p>
    <w:p w:rsid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ремонт и содержание автомобильных дорог (ООО МП «Надежда)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техническое обслуживание газового оборудования (АО «Газпром газораспределение Калуга»)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услуги связи (ПАО «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Ростелеком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ремонт уличного освещения (ООО «Монтажник»)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- на уличное освещение сельского поселения (ОАО «КСК»)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- на поставку газа (ООО «Газпром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межрегионгаз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Калуга»)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- на обслуживание компьютерной техники (ИП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Рагулина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З.В.)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поставку периодических изданий (АО «Почта России»)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страховку ГТС д. Дальнее Натарово (ПАО СК «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Росгосстрах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- на капитальный ремонт участка автодороги в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BF0776">
        <w:rPr>
          <w:rFonts w:ascii="Times New Roman" w:eastAsia="Times New Roman" w:hAnsi="Times New Roman" w:cs="Times New Roman"/>
          <w:sz w:val="26"/>
          <w:szCs w:val="26"/>
        </w:rPr>
        <w:t>ягаево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(ООО «Вектор»)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обращение с отходами не ТКО (ООО «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Полимет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приобретение изделий из фарфора (ООО «Фарфор»)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считывание архива показаний учета газового корректора  (ООО «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Техносервис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»)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приобретение канц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BF0776">
        <w:rPr>
          <w:rFonts w:ascii="Times New Roman" w:eastAsia="Times New Roman" w:hAnsi="Times New Roman" w:cs="Times New Roman"/>
          <w:sz w:val="26"/>
          <w:szCs w:val="26"/>
        </w:rPr>
        <w:t>оваров (ИП Новосельцев В.Н.)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- на оплату ТКО (ГП КРЭО)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5. Почтовое и медицинское обслуживание населения.</w:t>
      </w: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Почта осуществляет свою деятельность не только подпиской на периодические издания (газеты и журналы), но и выдает пенсии и социальные выплаты, принимает к оплате квитанции за телефон, за коммунальные услуги, оплату за услуги сотовой связи, оплату налогов, осуществляет торговлю продуктами первой необходимости.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Частными предпринимателями осуществляется привоз комбикормов.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обслуживание населения осуществляется   в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Тягаевском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ФАПе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Профилактическое обслуживание населения на дому ФАП осуществляет каждый второй и четвертый вторник месяца, ведет прием больных, по просьбам жителей осуществляются  вызова на дом. Делаются различные виды прививок. Осуществляются диспансерные обследования. Ведутся приемы медицинскими работниками Кировской поликлиники.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6. Правопорядок на территории поселения (показатели по сравнению с прошлым годом).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В 2023 году совершено одно преступление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В 2024 году совершено одно преступление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7. Работа с обращениями граждан (устные и письменные обращения, основные вопросы, что решено, что требует решения)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Рассмотрены обращения граждан: письменных – 24; устных -  65. Основные вопросы:  оформление в собственность жилых помещений, по ремонту и установке фонарей уличного освещения, по водопроводу, по канализации, по ремонту, чистке и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грейдированию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дорог, по оформлению земельных участков граждан в собственность, выдача справок, оформление документов по регистрации граждан и снятии граждан с регистрационного учета.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Все устные и письменные обращения граждан своевременно рассматриваются администрацией СП и принимаются все необходимые меры для их решения, при невозможности решить обращение на месте администрация СП обращается в Кировскую районную администрацию или другие организации, а также дает разъяснения гражданам в каких инстанциях можно решить данный вопрос. Требуют решения такие ежегодные вопросы: ремонт фонарей уличного освещения, ремонт дорог, ремонт водопроводных сетей, прочистка сетей канализации, благоустройство территории сельского поселения.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8.Мероприятия по пожарной безопасности.</w:t>
      </w: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Проводились рейды, подворные обходы, сходы граждан администрацией СП по населенным пунктам СП. Распространялись листовки по пожарной безопасности. Осуществлялись дежурства и патрулирование в пожароопасный период. Оформлены методические материалы по организации и практическому осуществлению первичных мер ПБ на территории СП. В сельском поселении создано  и действует ДПФ. Организовано обучение населения и личного состава ДПФ работниками администрации СП, совместно с сотрудниками ГПН. Определен список неблагополучных семей – «групп риска» ведется наблюдение за их жизнедеятельностью. Во всех населенных пунктах имеется телефонная связь.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9. Прочие мероприятия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Производится чистка дорог от снега.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дорог. Убрана одна несанкционированная свалка, проводились уборки кладбищ, проводились субботники, Проводилось благоустройство территорий населенных пунктов сельского поселения. Проводились работы по косметическому ремонту и благоустройству братских захоронений. 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Составлен план проведения мероприятий в СДК и библиотеке и, 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согласно плана</w:t>
      </w:r>
      <w:proofErr w:type="gram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ко всем знаменательным датам и праздникам проводятся конкурсы, дискотеки, викторины, концерты, лекции, тематические встречи. 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Хочу поблагодарить жителей СП, которые принимали активное участие в наведении должного санитарного порядка на придомовых территориях, около хозяйственных построек, также хочу поблагодарить работников СДК, библиотеки, почты,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ФАПа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, которые оказывают практическую помощь администрации СП в проведении субботников и других </w:t>
      </w:r>
      <w:proofErr w:type="gramStart"/>
      <w:r w:rsidRPr="00BF0776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proofErr w:type="gramEnd"/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благоустройство территории сельского поселения. Все жители поселения должны окашивать и убирать придомовую, прилегающую к огородам, хозяйственную  территорию и без помощи населения не будет чистоты и порядка в населенных пунктах. Благодарю руководство Кировской районной администрации и все организации Кировского </w:t>
      </w:r>
      <w:r w:rsidRPr="00BF0776"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района, принимавшие непосредственное участие в оказании своевременной и необходимой помощи в решении экстренных вопросов связанных с жизнедеятельностью сельского поселения.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10. Перспективы развития сельского поселения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 В планах для развития сельского поселения в дальнейшем: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На земли сельскохозяйственного назначения, расположенные в границах сельского поселения, пришел инвестор ООО «Русский сыр» для развития сельскохозяйственного производства. В перспективе будут обрабатываться все поля по выращиванию сельскохозяйственных культур для производства кормов.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Нужен капитальный ремонт участка автодороги Верхняя Песочня – Тягаево, который запланирован на 2025 год. На 2025 год запланировано строительство нового модульного </w:t>
      </w:r>
      <w:proofErr w:type="spellStart"/>
      <w:r w:rsidRPr="00BF0776">
        <w:rPr>
          <w:rFonts w:ascii="Times New Roman" w:eastAsia="Times New Roman" w:hAnsi="Times New Roman" w:cs="Times New Roman"/>
          <w:sz w:val="26"/>
          <w:szCs w:val="26"/>
        </w:rPr>
        <w:t>ФАПа</w:t>
      </w:r>
      <w:proofErr w:type="spellEnd"/>
      <w:r w:rsidRPr="00BF07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Нужен капитальный ремонт водопроводных сетей по программе «Чистая вода». Продолжить принимать участие в реализации проектов развития общественной инфраструктуры сельского поселения.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>Продолжить выполнение муниципальных программ направленных на развитие и благоустройство сельского поселения.</w:t>
      </w:r>
    </w:p>
    <w:p w:rsidR="00BF0776" w:rsidRPr="00BF0776" w:rsidRDefault="00BF0776" w:rsidP="00BF07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sz w:val="26"/>
          <w:szCs w:val="26"/>
        </w:rPr>
        <w:t xml:space="preserve">И выполнение всех мероприятий по обеспечению жизнедеятельности сельского поселения. </w:t>
      </w:r>
    </w:p>
    <w:p w:rsidR="00BF0776" w:rsidRPr="00BF0776" w:rsidRDefault="00BF0776" w:rsidP="00BF077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5EE5" w:rsidRPr="00BF0776" w:rsidRDefault="00BF0776" w:rsidP="00BF077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776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</w:p>
    <w:sectPr w:rsidR="00345EE5" w:rsidRPr="00BF0776" w:rsidSect="0014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AAF"/>
    <w:rsid w:val="00140052"/>
    <w:rsid w:val="001D6257"/>
    <w:rsid w:val="002B1AAF"/>
    <w:rsid w:val="00345EE5"/>
    <w:rsid w:val="00906545"/>
    <w:rsid w:val="009F4FC8"/>
    <w:rsid w:val="00B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1A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B1AAF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TYGAEVO</dc:creator>
  <cp:keywords/>
  <dc:description/>
  <cp:lastModifiedBy>Специалист</cp:lastModifiedBy>
  <cp:revision>6</cp:revision>
  <dcterms:created xsi:type="dcterms:W3CDTF">2024-12-19T08:04:00Z</dcterms:created>
  <dcterms:modified xsi:type="dcterms:W3CDTF">2024-12-27T07:01:00Z</dcterms:modified>
</cp:coreProperties>
</file>